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570C" w14:textId="77777777" w:rsidR="002910B5" w:rsidRPr="00602E4F" w:rsidRDefault="002910B5" w:rsidP="00F52925">
      <w:pPr>
        <w:ind w:left="2835"/>
        <w:rPr>
          <w:b/>
          <w:color w:val="auto"/>
        </w:rPr>
      </w:pPr>
      <w:bookmarkStart w:id="0" w:name="_GoBack"/>
    </w:p>
    <w:p w14:paraId="55F60C00" w14:textId="0D3F0617" w:rsidR="00A531EB" w:rsidRPr="00602E4F" w:rsidRDefault="00346EBA" w:rsidP="00F52925">
      <w:pPr>
        <w:ind w:left="2835"/>
        <w:rPr>
          <w:b/>
          <w:bCs/>
          <w:color w:val="auto"/>
        </w:rPr>
      </w:pPr>
      <w:r w:rsidRPr="00602E4F">
        <w:rPr>
          <w:b/>
          <w:color w:val="auto"/>
        </w:rPr>
        <w:t xml:space="preserve">RECURSO. </w:t>
      </w:r>
      <w:r w:rsidR="00EE0E72" w:rsidRPr="00602E4F">
        <w:rPr>
          <w:b/>
          <w:color w:val="auto"/>
        </w:rPr>
        <w:t>PEDIDO</w:t>
      </w:r>
      <w:r w:rsidRPr="00602E4F">
        <w:rPr>
          <w:b/>
          <w:color w:val="auto"/>
        </w:rPr>
        <w:t xml:space="preserve"> DE </w:t>
      </w:r>
      <w:r w:rsidR="001157B6" w:rsidRPr="00602E4F">
        <w:rPr>
          <w:b/>
          <w:color w:val="auto"/>
        </w:rPr>
        <w:t xml:space="preserve">ACESSO </w:t>
      </w:r>
      <w:r w:rsidR="003509A0" w:rsidRPr="00602E4F">
        <w:rPr>
          <w:b/>
          <w:color w:val="auto"/>
        </w:rPr>
        <w:t>A PLANILHA DE DADOS QUANTITATIVOS TOTAIS MENSAIS SOBRE VENDAS DE ÁGUA MINERAL NO ESTADO DO RIO GRANDE DO SUL</w:t>
      </w:r>
      <w:r w:rsidR="002D5584" w:rsidRPr="00602E4F">
        <w:rPr>
          <w:b/>
          <w:bCs/>
          <w:color w:val="auto"/>
          <w:shd w:val="clear" w:color="auto" w:fill="FFFFFF"/>
        </w:rPr>
        <w:t>.</w:t>
      </w:r>
      <w:r w:rsidR="003509A0" w:rsidRPr="00602E4F">
        <w:rPr>
          <w:b/>
          <w:bCs/>
          <w:color w:val="auto"/>
          <w:shd w:val="clear" w:color="auto" w:fill="FFFFFF"/>
        </w:rPr>
        <w:t xml:space="preserve"> INCIDÊNCIA DAS DISPOSIÇÕES DA SÚMULA CMRI/RS 06.</w:t>
      </w:r>
      <w:r w:rsidR="002D5584" w:rsidRPr="00602E4F">
        <w:rPr>
          <w:b/>
          <w:color w:val="auto"/>
        </w:rPr>
        <w:t xml:space="preserve"> </w:t>
      </w:r>
      <w:r w:rsidR="003509A0" w:rsidRPr="00602E4F">
        <w:rPr>
          <w:b/>
          <w:color w:val="auto"/>
        </w:rPr>
        <w:t>RECURSO PARCIALMENTE PROVIDO</w:t>
      </w:r>
      <w:r w:rsidRPr="00602E4F">
        <w:rPr>
          <w:b/>
          <w:color w:val="auto"/>
        </w:rPr>
        <w:t>.</w:t>
      </w:r>
    </w:p>
    <w:p w14:paraId="4F18F837" w14:textId="77777777" w:rsidR="00527E7B" w:rsidRPr="00602E4F" w:rsidRDefault="00527E7B" w:rsidP="00F52925">
      <w:pPr>
        <w:rPr>
          <w:color w:val="auto"/>
        </w:rPr>
      </w:pPr>
    </w:p>
    <w:p w14:paraId="07725382" w14:textId="77777777" w:rsidR="00C10C9C" w:rsidRPr="00602E4F" w:rsidRDefault="00C10C9C" w:rsidP="00F52925">
      <w:pPr>
        <w:rPr>
          <w:color w:val="auto"/>
        </w:rPr>
      </w:pPr>
    </w:p>
    <w:p w14:paraId="624EE9A1" w14:textId="77777777" w:rsidR="00056CC3" w:rsidRPr="00602E4F" w:rsidRDefault="00056CC3" w:rsidP="00F52925">
      <w:pPr>
        <w:rPr>
          <w:color w:val="auto"/>
        </w:rPr>
      </w:pPr>
      <w:r w:rsidRPr="00602E4F">
        <w:rPr>
          <w:color w:val="auto"/>
        </w:rPr>
        <w:t>RECURSO</w:t>
      </w:r>
    </w:p>
    <w:p w14:paraId="0865BE80" w14:textId="77777777" w:rsidR="00056CC3" w:rsidRPr="00602E4F" w:rsidRDefault="00056CC3" w:rsidP="00F52925">
      <w:pPr>
        <w:rPr>
          <w:color w:val="auto"/>
        </w:rPr>
      </w:pPr>
    </w:p>
    <w:p w14:paraId="4249F563" w14:textId="7C0A4043" w:rsidR="00056CC3" w:rsidRPr="00602E4F" w:rsidRDefault="00056CC3" w:rsidP="00F52925">
      <w:pPr>
        <w:rPr>
          <w:color w:val="auto"/>
        </w:rPr>
      </w:pPr>
      <w:r w:rsidRPr="00602E4F">
        <w:rPr>
          <w:color w:val="auto"/>
        </w:rPr>
        <w:t xml:space="preserve">DEMANDA Nº </w:t>
      </w:r>
      <w:r w:rsidR="00291F61" w:rsidRPr="00602E4F">
        <w:rPr>
          <w:color w:val="auto"/>
        </w:rPr>
        <w:t>24</w:t>
      </w:r>
      <w:r w:rsidR="00346EBA" w:rsidRPr="00602E4F">
        <w:rPr>
          <w:color w:val="auto"/>
        </w:rPr>
        <w:t>.</w:t>
      </w:r>
      <w:r w:rsidR="009A6B19" w:rsidRPr="00602E4F">
        <w:rPr>
          <w:color w:val="auto"/>
        </w:rPr>
        <w:t>951</w:t>
      </w:r>
      <w:r w:rsidRPr="00602E4F">
        <w:rPr>
          <w:color w:val="auto"/>
        </w:rPr>
        <w:t xml:space="preserve"> </w:t>
      </w:r>
      <w:r w:rsidR="00FB76DA" w:rsidRPr="00602E4F">
        <w:rPr>
          <w:color w:val="auto"/>
        </w:rPr>
        <w:t xml:space="preserve">                                </w:t>
      </w:r>
      <w:r w:rsidR="009A6B19" w:rsidRPr="00602E4F">
        <w:rPr>
          <w:color w:val="auto"/>
        </w:rPr>
        <w:t xml:space="preserve">               </w:t>
      </w:r>
      <w:r w:rsidR="00FB76DA" w:rsidRPr="00602E4F">
        <w:rPr>
          <w:color w:val="auto"/>
        </w:rPr>
        <w:t>S</w:t>
      </w:r>
      <w:r w:rsidR="009A6B19" w:rsidRPr="00602E4F">
        <w:rPr>
          <w:color w:val="auto"/>
        </w:rPr>
        <w:t>EFAZ/RECEITA ESTADUAL</w:t>
      </w:r>
    </w:p>
    <w:p w14:paraId="2A57BC58" w14:textId="77777777" w:rsidR="003E095B" w:rsidRPr="00602E4F" w:rsidRDefault="003E095B" w:rsidP="00F52925">
      <w:pPr>
        <w:rPr>
          <w:color w:val="auto"/>
        </w:rPr>
      </w:pPr>
    </w:p>
    <w:p w14:paraId="02E14C98" w14:textId="66F910E6" w:rsidR="00346EBA" w:rsidRPr="00602E4F" w:rsidRDefault="009A6B19" w:rsidP="00F52925">
      <w:pPr>
        <w:rPr>
          <w:color w:val="auto"/>
        </w:rPr>
      </w:pPr>
      <w:r w:rsidRPr="00602E4F">
        <w:rPr>
          <w:color w:val="auto"/>
        </w:rPr>
        <w:t>MANOEL DIRCEU R. NETO</w:t>
      </w:r>
      <w:r w:rsidR="00527E7B" w:rsidRPr="00602E4F">
        <w:rPr>
          <w:color w:val="auto"/>
        </w:rPr>
        <w:t xml:space="preserve">                                                         </w:t>
      </w:r>
      <w:r w:rsidRPr="00602E4F">
        <w:rPr>
          <w:color w:val="auto"/>
        </w:rPr>
        <w:t xml:space="preserve"> </w:t>
      </w:r>
      <w:r w:rsidR="00527E7B" w:rsidRPr="00602E4F">
        <w:rPr>
          <w:color w:val="auto"/>
        </w:rPr>
        <w:t>RECORRENTE</w:t>
      </w:r>
    </w:p>
    <w:p w14:paraId="184427C8" w14:textId="77777777" w:rsidR="00056CC3" w:rsidRPr="00602E4F" w:rsidRDefault="00056CC3" w:rsidP="00F52925">
      <w:pPr>
        <w:rPr>
          <w:color w:val="auto"/>
        </w:rPr>
      </w:pPr>
    </w:p>
    <w:p w14:paraId="09B6DEDB" w14:textId="77777777" w:rsidR="00A531EB" w:rsidRPr="00602E4F" w:rsidRDefault="00A531EB" w:rsidP="00F52925">
      <w:pPr>
        <w:rPr>
          <w:color w:val="auto"/>
        </w:rPr>
      </w:pPr>
    </w:p>
    <w:p w14:paraId="47902EB5" w14:textId="77777777" w:rsidR="00A531EB" w:rsidRPr="00602E4F" w:rsidRDefault="00A531EB" w:rsidP="00F52925">
      <w:pPr>
        <w:pStyle w:val="TtuloPrincipal"/>
        <w:spacing w:before="0" w:after="0"/>
        <w:rPr>
          <w:color w:val="auto"/>
          <w:sz w:val="24"/>
          <w:szCs w:val="24"/>
        </w:rPr>
      </w:pPr>
      <w:r w:rsidRPr="00602E4F">
        <w:rPr>
          <w:color w:val="auto"/>
          <w:sz w:val="24"/>
          <w:szCs w:val="24"/>
        </w:rPr>
        <w:t>DECISÃO</w:t>
      </w:r>
    </w:p>
    <w:p w14:paraId="015CA39C" w14:textId="77777777" w:rsidR="00A531EB" w:rsidRPr="00602E4F" w:rsidRDefault="00A531EB" w:rsidP="00F52925">
      <w:pPr>
        <w:pStyle w:val="PargrafoNormal"/>
        <w:spacing w:after="0"/>
        <w:rPr>
          <w:color w:val="auto"/>
        </w:rPr>
      </w:pPr>
      <w:r w:rsidRPr="00602E4F">
        <w:rPr>
          <w:color w:val="auto"/>
        </w:rPr>
        <w:t>Vista, relatada e discutida a demanda.</w:t>
      </w:r>
    </w:p>
    <w:p w14:paraId="59FD4095" w14:textId="67412862" w:rsidR="00056CC3" w:rsidRPr="00602E4F" w:rsidRDefault="00A531EB" w:rsidP="00F52925">
      <w:pPr>
        <w:pStyle w:val="PargrafoNormal"/>
        <w:spacing w:after="0"/>
        <w:rPr>
          <w:color w:val="auto"/>
        </w:rPr>
      </w:pPr>
      <w:r w:rsidRPr="00602E4F">
        <w:rPr>
          <w:color w:val="auto"/>
        </w:rPr>
        <w:t xml:space="preserve">Acordam os integrantes da Comissão Mista de Reavaliação de Informações – CMRI/RS, por unanimidade, em </w:t>
      </w:r>
      <w:r w:rsidR="00C10C9C" w:rsidRPr="00602E4F">
        <w:rPr>
          <w:color w:val="auto"/>
        </w:rPr>
        <w:t>dar parcial provimento ao recurso</w:t>
      </w:r>
      <w:r w:rsidRPr="00602E4F">
        <w:rPr>
          <w:color w:val="auto"/>
        </w:rPr>
        <w:t>.</w:t>
      </w:r>
    </w:p>
    <w:p w14:paraId="611774D7" w14:textId="334701E3" w:rsidR="00C10C9C" w:rsidRPr="00602E4F" w:rsidRDefault="00C10C9C" w:rsidP="00C10C9C">
      <w:pPr>
        <w:pStyle w:val="PargrafoNormal"/>
        <w:spacing w:after="0"/>
        <w:rPr>
          <w:color w:val="auto"/>
        </w:rPr>
      </w:pPr>
      <w:r w:rsidRPr="00602E4F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da Educação; da Secretaria da Segurança Pública; da Secretaria da Fazenda/Contadoria e Auditoria-Geral do Estado; da Secretaria de Planejamento, Orçamento e Gestão/Arquivo Público do Estado; da Secretaria da Justiça, Cidadania e Direitos Humanos; e da Secretaria da Saúde. </w:t>
      </w:r>
    </w:p>
    <w:p w14:paraId="5BEA4022" w14:textId="77777777" w:rsidR="00C10C9C" w:rsidRPr="00602E4F" w:rsidRDefault="00C10C9C" w:rsidP="00C10C9C">
      <w:pPr>
        <w:rPr>
          <w:color w:val="auto"/>
        </w:rPr>
      </w:pPr>
    </w:p>
    <w:p w14:paraId="10C15498" w14:textId="77777777" w:rsidR="00346EBA" w:rsidRPr="00602E4F" w:rsidRDefault="00346EBA" w:rsidP="00527E7B">
      <w:pPr>
        <w:pStyle w:val="PargrafoNormal"/>
        <w:spacing w:after="0"/>
        <w:jc w:val="center"/>
        <w:rPr>
          <w:color w:val="auto"/>
        </w:rPr>
      </w:pPr>
    </w:p>
    <w:p w14:paraId="63D702F7" w14:textId="2D82561E" w:rsidR="00A531EB" w:rsidRPr="00602E4F" w:rsidRDefault="00A531EB" w:rsidP="00527E7B">
      <w:pPr>
        <w:pStyle w:val="PargrafoNormal"/>
        <w:spacing w:after="0"/>
        <w:ind w:firstLine="0"/>
        <w:jc w:val="center"/>
        <w:rPr>
          <w:color w:val="auto"/>
        </w:rPr>
      </w:pPr>
      <w:r w:rsidRPr="00602E4F">
        <w:rPr>
          <w:color w:val="auto"/>
        </w:rPr>
        <w:t xml:space="preserve">Porto Alegre, </w:t>
      </w:r>
      <w:r w:rsidR="00F52925" w:rsidRPr="00602E4F">
        <w:rPr>
          <w:color w:val="auto"/>
        </w:rPr>
        <w:t>02</w:t>
      </w:r>
      <w:r w:rsidRPr="00602E4F">
        <w:rPr>
          <w:color w:val="auto"/>
        </w:rPr>
        <w:t xml:space="preserve"> de </w:t>
      </w:r>
      <w:r w:rsidR="00F52925" w:rsidRPr="00602E4F">
        <w:rPr>
          <w:color w:val="auto"/>
        </w:rPr>
        <w:t>junho</w:t>
      </w:r>
      <w:r w:rsidRPr="00602E4F">
        <w:rPr>
          <w:color w:val="auto"/>
        </w:rPr>
        <w:t xml:space="preserve"> de 20</w:t>
      </w:r>
      <w:r w:rsidR="00F52925" w:rsidRPr="00602E4F">
        <w:rPr>
          <w:color w:val="auto"/>
        </w:rPr>
        <w:t>20</w:t>
      </w:r>
      <w:r w:rsidRPr="00602E4F">
        <w:rPr>
          <w:color w:val="auto"/>
        </w:rPr>
        <w:t>.</w:t>
      </w:r>
    </w:p>
    <w:p w14:paraId="0BF72A34" w14:textId="77777777" w:rsidR="00527E7B" w:rsidRPr="00602E4F" w:rsidRDefault="00527E7B" w:rsidP="00527E7B">
      <w:pPr>
        <w:pStyle w:val="PargrafoNormal"/>
        <w:spacing w:after="0"/>
        <w:ind w:firstLine="0"/>
        <w:jc w:val="center"/>
        <w:rPr>
          <w:color w:val="auto"/>
        </w:rPr>
      </w:pPr>
    </w:p>
    <w:p w14:paraId="45D96750" w14:textId="77777777" w:rsidR="003509A0" w:rsidRPr="00602E4F" w:rsidRDefault="003509A0" w:rsidP="00527E7B">
      <w:pPr>
        <w:pStyle w:val="PargrafoNormal"/>
        <w:spacing w:after="0"/>
        <w:ind w:firstLine="0"/>
        <w:jc w:val="center"/>
        <w:rPr>
          <w:color w:val="auto"/>
        </w:rPr>
      </w:pPr>
    </w:p>
    <w:p w14:paraId="405D426D" w14:textId="77777777" w:rsidR="003509A0" w:rsidRPr="00602E4F" w:rsidRDefault="003509A0" w:rsidP="00527E7B">
      <w:pPr>
        <w:pStyle w:val="PargrafoNormal"/>
        <w:spacing w:after="0"/>
        <w:ind w:firstLine="0"/>
        <w:jc w:val="center"/>
        <w:rPr>
          <w:color w:val="auto"/>
        </w:rPr>
      </w:pPr>
    </w:p>
    <w:p w14:paraId="0B4F3FE1" w14:textId="77777777" w:rsidR="00C10C9C" w:rsidRPr="00602E4F" w:rsidRDefault="00C10C9C" w:rsidP="00527E7B">
      <w:pPr>
        <w:pStyle w:val="Assinatura"/>
        <w:rPr>
          <w:caps w:val="0"/>
          <w:color w:val="auto"/>
          <w:sz w:val="24"/>
          <w:szCs w:val="24"/>
        </w:rPr>
      </w:pPr>
    </w:p>
    <w:p w14:paraId="02278467" w14:textId="306AC689" w:rsidR="00A531EB" w:rsidRPr="00602E4F" w:rsidRDefault="00A531EB" w:rsidP="00527E7B">
      <w:pPr>
        <w:pStyle w:val="Assinatura"/>
        <w:rPr>
          <w:caps w:val="0"/>
          <w:color w:val="auto"/>
          <w:sz w:val="24"/>
          <w:szCs w:val="24"/>
        </w:rPr>
      </w:pPr>
      <w:r w:rsidRPr="00602E4F">
        <w:rPr>
          <w:caps w:val="0"/>
          <w:color w:val="auto"/>
          <w:sz w:val="24"/>
          <w:szCs w:val="24"/>
        </w:rPr>
        <w:t>SECRETARIA</w:t>
      </w:r>
      <w:r w:rsidR="00C10C9C" w:rsidRPr="00602E4F">
        <w:rPr>
          <w:caps w:val="0"/>
          <w:color w:val="auto"/>
          <w:sz w:val="24"/>
          <w:szCs w:val="24"/>
        </w:rPr>
        <w:t xml:space="preserve"> DE GOVERNANÇA E GESTÃO ESTRATÉGICA</w:t>
      </w:r>
      <w:r w:rsidRPr="00602E4F">
        <w:rPr>
          <w:caps w:val="0"/>
          <w:color w:val="auto"/>
          <w:sz w:val="24"/>
          <w:szCs w:val="24"/>
        </w:rPr>
        <w:t>,</w:t>
      </w:r>
    </w:p>
    <w:p w14:paraId="410F20A2" w14:textId="77777777" w:rsidR="00A531EB" w:rsidRPr="00602E4F" w:rsidRDefault="00A531EB" w:rsidP="00527E7B">
      <w:pPr>
        <w:pStyle w:val="Assinatura"/>
        <w:spacing w:line="360" w:lineRule="auto"/>
        <w:rPr>
          <w:caps w:val="0"/>
          <w:color w:val="auto"/>
          <w:sz w:val="24"/>
          <w:szCs w:val="24"/>
        </w:rPr>
      </w:pPr>
      <w:r w:rsidRPr="00602E4F">
        <w:rPr>
          <w:caps w:val="0"/>
          <w:color w:val="auto"/>
          <w:sz w:val="24"/>
          <w:szCs w:val="24"/>
        </w:rPr>
        <w:t>Relator.</w:t>
      </w:r>
    </w:p>
    <w:p w14:paraId="7C63D00D" w14:textId="77777777" w:rsidR="00A531EB" w:rsidRPr="00602E4F" w:rsidRDefault="00A531EB" w:rsidP="00F52925">
      <w:pPr>
        <w:pStyle w:val="Assinatura"/>
        <w:spacing w:line="360" w:lineRule="auto"/>
        <w:rPr>
          <w:caps w:val="0"/>
          <w:color w:val="auto"/>
          <w:sz w:val="24"/>
          <w:szCs w:val="24"/>
        </w:rPr>
      </w:pPr>
    </w:p>
    <w:p w14:paraId="1C317477" w14:textId="77777777" w:rsidR="00A531EB" w:rsidRPr="00602E4F" w:rsidRDefault="00A531EB" w:rsidP="00F52925">
      <w:pPr>
        <w:spacing w:line="360" w:lineRule="auto"/>
        <w:rPr>
          <w:color w:val="auto"/>
        </w:rPr>
      </w:pPr>
    </w:p>
    <w:p w14:paraId="304DC8E1" w14:textId="77777777" w:rsidR="00A87C95" w:rsidRPr="00602E4F" w:rsidRDefault="00A531EB" w:rsidP="00F52925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602E4F">
        <w:rPr>
          <w:color w:val="auto"/>
          <w:sz w:val="24"/>
          <w:szCs w:val="24"/>
        </w:rPr>
        <w:t>RELATÓRIO</w:t>
      </w:r>
    </w:p>
    <w:p w14:paraId="33203CCD" w14:textId="77777777" w:rsidR="003E096E" w:rsidRPr="00602E4F" w:rsidRDefault="003E096E" w:rsidP="00F52925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</w:p>
    <w:p w14:paraId="76C94EE0" w14:textId="72C1087A" w:rsidR="00A531EB" w:rsidRPr="00602E4F" w:rsidRDefault="00A531EB" w:rsidP="00F52925">
      <w:pPr>
        <w:pStyle w:val="NomeJulgadorPadro"/>
        <w:spacing w:after="0"/>
        <w:rPr>
          <w:b w:val="0"/>
          <w:caps w:val="0"/>
          <w:color w:val="auto"/>
          <w:u w:val="single"/>
        </w:rPr>
      </w:pPr>
      <w:r w:rsidRPr="00602E4F">
        <w:rPr>
          <w:color w:val="auto"/>
          <w:u w:val="single"/>
        </w:rPr>
        <w:t>s</w:t>
      </w:r>
      <w:r w:rsidR="003E096E" w:rsidRPr="00602E4F">
        <w:rPr>
          <w:color w:val="auto"/>
          <w:u w:val="single"/>
        </w:rPr>
        <w:t>ECRETARIA D</w:t>
      </w:r>
      <w:r w:rsidR="00C10C9C" w:rsidRPr="00602E4F">
        <w:rPr>
          <w:color w:val="auto"/>
          <w:u w:val="single"/>
        </w:rPr>
        <w:t>E gOVERNANÇA E GESTÃO ESTRATÉGICa</w:t>
      </w:r>
      <w:r w:rsidRPr="00602E4F">
        <w:rPr>
          <w:color w:val="auto"/>
          <w:u w:val="single"/>
        </w:rPr>
        <w:t xml:space="preserve"> (RElATOR)</w:t>
      </w:r>
      <w:r w:rsidRPr="00602E4F">
        <w:rPr>
          <w:b w:val="0"/>
          <w:caps w:val="0"/>
          <w:color w:val="auto"/>
          <w:u w:val="single"/>
        </w:rPr>
        <w:t xml:space="preserve"> –</w:t>
      </w:r>
    </w:p>
    <w:p w14:paraId="23E3CF61" w14:textId="77777777" w:rsidR="000A5570" w:rsidRPr="00602E4F" w:rsidRDefault="000A5570" w:rsidP="00F52925">
      <w:pPr>
        <w:pStyle w:val="NomeJulgadorPadro"/>
        <w:spacing w:after="0"/>
        <w:rPr>
          <w:b w:val="0"/>
          <w:caps w:val="0"/>
          <w:color w:val="auto"/>
        </w:rPr>
      </w:pPr>
    </w:p>
    <w:p w14:paraId="0C96211B" w14:textId="77777777" w:rsidR="00C10C9C" w:rsidRPr="00602E4F" w:rsidRDefault="007B7991" w:rsidP="00C10C9C">
      <w:pPr>
        <w:pStyle w:val="PargrafoNormal"/>
        <w:spacing w:after="0"/>
        <w:rPr>
          <w:i/>
          <w:color w:val="auto"/>
          <w:shd w:val="clear" w:color="auto" w:fill="FFFFFF"/>
        </w:rPr>
      </w:pPr>
      <w:r w:rsidRPr="00602E4F">
        <w:rPr>
          <w:color w:val="auto"/>
        </w:rPr>
        <w:t>Trata-se de pedido</w:t>
      </w:r>
      <w:r w:rsidR="00C10C9C" w:rsidRPr="00602E4F">
        <w:rPr>
          <w:color w:val="auto"/>
        </w:rPr>
        <w:t xml:space="preserve"> de acesso à informação encaminhado</w:t>
      </w:r>
      <w:r w:rsidR="00FB76DA" w:rsidRPr="00602E4F">
        <w:rPr>
          <w:color w:val="auto"/>
        </w:rPr>
        <w:t>,</w:t>
      </w:r>
      <w:r w:rsidRPr="00602E4F">
        <w:rPr>
          <w:color w:val="auto"/>
        </w:rPr>
        <w:t xml:space="preserve"> </w:t>
      </w:r>
      <w:r w:rsidR="00C10C9C" w:rsidRPr="00602E4F">
        <w:rPr>
          <w:color w:val="auto"/>
        </w:rPr>
        <w:t>em 03/02/2020</w:t>
      </w:r>
      <w:r w:rsidR="00FB76DA" w:rsidRPr="00602E4F">
        <w:rPr>
          <w:color w:val="auto"/>
        </w:rPr>
        <w:t xml:space="preserve">, </w:t>
      </w:r>
      <w:r w:rsidRPr="00602E4F">
        <w:rPr>
          <w:color w:val="auto"/>
        </w:rPr>
        <w:t>p</w:t>
      </w:r>
      <w:r w:rsidR="007E1D81" w:rsidRPr="00602E4F">
        <w:rPr>
          <w:color w:val="auto"/>
        </w:rPr>
        <w:t xml:space="preserve">or </w:t>
      </w:r>
      <w:r w:rsidR="00C10C9C" w:rsidRPr="00602E4F">
        <w:rPr>
          <w:color w:val="auto"/>
        </w:rPr>
        <w:t>Manoel Dirceu R. Neto</w:t>
      </w:r>
      <w:r w:rsidR="00FB76DA" w:rsidRPr="00602E4F">
        <w:rPr>
          <w:color w:val="auto"/>
        </w:rPr>
        <w:t xml:space="preserve"> à Secretaria </w:t>
      </w:r>
      <w:r w:rsidR="00C10C9C" w:rsidRPr="00602E4F">
        <w:rPr>
          <w:color w:val="auto"/>
        </w:rPr>
        <w:t>da Fazenda/Receita Estadual, nos seguintes termos: “</w:t>
      </w:r>
      <w:r w:rsidR="00C10C9C" w:rsidRPr="00602E4F">
        <w:rPr>
          <w:i/>
          <w:color w:val="auto"/>
          <w:shd w:val="clear" w:color="auto" w:fill="FFFFFF"/>
        </w:rPr>
        <w:t xml:space="preserve">Solicitamos planilha de dados quantitativos totais mensais de vendas de água mineral comercializadas no Rio Grande do Sul nos últimos quatro anos, descrevendo as quantidades totais e valores mensais por </w:t>
      </w:r>
      <w:proofErr w:type="spellStart"/>
      <w:r w:rsidR="00C10C9C" w:rsidRPr="00602E4F">
        <w:rPr>
          <w:i/>
          <w:color w:val="auto"/>
          <w:shd w:val="clear" w:color="auto" w:fill="FFFFFF"/>
        </w:rPr>
        <w:t>litragem</w:t>
      </w:r>
      <w:proofErr w:type="spellEnd"/>
      <w:r w:rsidR="00C10C9C" w:rsidRPr="00602E4F">
        <w:rPr>
          <w:i/>
          <w:color w:val="auto"/>
          <w:shd w:val="clear" w:color="auto" w:fill="FFFFFF"/>
        </w:rPr>
        <w:t xml:space="preserve"> e por segmento (auto serviço, mercado frio e mercado tradicional</w:t>
      </w:r>
      <w:proofErr w:type="gramStart"/>
      <w:r w:rsidR="00C10C9C" w:rsidRPr="00602E4F">
        <w:rPr>
          <w:i/>
          <w:color w:val="auto"/>
          <w:shd w:val="clear" w:color="auto" w:fill="FFFFFF"/>
        </w:rPr>
        <w:t>).”</w:t>
      </w:r>
      <w:proofErr w:type="gramEnd"/>
    </w:p>
    <w:p w14:paraId="43AFEF19" w14:textId="77777777" w:rsidR="00C10C9C" w:rsidRPr="00602E4F" w:rsidRDefault="00C10C9C" w:rsidP="00C10C9C">
      <w:pPr>
        <w:pStyle w:val="PargrafoNormal"/>
        <w:spacing w:after="0"/>
        <w:rPr>
          <w:i/>
          <w:color w:val="auto"/>
          <w:shd w:val="clear" w:color="auto" w:fill="FFFFFF"/>
        </w:rPr>
      </w:pPr>
    </w:p>
    <w:p w14:paraId="13964FC6" w14:textId="59BB71A8" w:rsidR="00C10C9C" w:rsidRPr="00602E4F" w:rsidRDefault="000A5570" w:rsidP="00C10C9C">
      <w:pPr>
        <w:pStyle w:val="PargrafoNormal"/>
        <w:spacing w:after="0"/>
        <w:rPr>
          <w:color w:val="auto"/>
        </w:rPr>
      </w:pPr>
      <w:r w:rsidRPr="00602E4F">
        <w:rPr>
          <w:color w:val="auto"/>
        </w:rPr>
        <w:t xml:space="preserve">Em </w:t>
      </w:r>
      <w:r w:rsidR="00C10C9C" w:rsidRPr="00602E4F">
        <w:rPr>
          <w:color w:val="auto"/>
        </w:rPr>
        <w:t>05</w:t>
      </w:r>
      <w:r w:rsidR="00F5375A" w:rsidRPr="00602E4F">
        <w:rPr>
          <w:color w:val="auto"/>
        </w:rPr>
        <w:t>/0</w:t>
      </w:r>
      <w:r w:rsidR="00C10C9C" w:rsidRPr="00602E4F">
        <w:rPr>
          <w:color w:val="auto"/>
        </w:rPr>
        <w:t>2</w:t>
      </w:r>
      <w:r w:rsidR="00F5375A" w:rsidRPr="00602E4F">
        <w:rPr>
          <w:color w:val="auto"/>
        </w:rPr>
        <w:t>/20</w:t>
      </w:r>
      <w:r w:rsidR="00FB76DA" w:rsidRPr="00602E4F">
        <w:rPr>
          <w:color w:val="auto"/>
        </w:rPr>
        <w:t>20</w:t>
      </w:r>
      <w:r w:rsidR="00B36B31" w:rsidRPr="00602E4F">
        <w:rPr>
          <w:color w:val="auto"/>
        </w:rPr>
        <w:t>,</w:t>
      </w:r>
      <w:r w:rsidR="00335BC1" w:rsidRPr="00602E4F">
        <w:rPr>
          <w:color w:val="auto"/>
        </w:rPr>
        <w:t xml:space="preserve"> </w:t>
      </w:r>
      <w:r w:rsidR="001935F1" w:rsidRPr="00602E4F">
        <w:rPr>
          <w:color w:val="auto"/>
        </w:rPr>
        <w:t xml:space="preserve">em resposta, </w:t>
      </w:r>
      <w:r w:rsidR="00C10C9C" w:rsidRPr="00602E4F">
        <w:rPr>
          <w:color w:val="auto"/>
        </w:rPr>
        <w:t xml:space="preserve">o órgão demandado informou que: </w:t>
      </w:r>
      <w:r w:rsidR="00C10C9C" w:rsidRPr="00602E4F">
        <w:rPr>
          <w:i/>
          <w:color w:val="auto"/>
        </w:rPr>
        <w:t>“(...) não possui informações sistematizadas sobre os dados solicitados, o que requer trabalho de análise e depuração de dados. Assim, estes deixarão de ser fornecidos, com base no art. 8º-B, inciso III, do Decreto nº 49.111/2012, com alterações introduzidas pelo Decreto nº 52.505/</w:t>
      </w:r>
      <w:proofErr w:type="gramStart"/>
      <w:r w:rsidR="00C10C9C" w:rsidRPr="00602E4F">
        <w:rPr>
          <w:i/>
          <w:color w:val="auto"/>
        </w:rPr>
        <w:t>2015.”</w:t>
      </w:r>
      <w:proofErr w:type="gramEnd"/>
    </w:p>
    <w:p w14:paraId="3AD27BE2" w14:textId="2289EA1C" w:rsidR="00FB76DA" w:rsidRPr="00602E4F" w:rsidRDefault="00FB76DA" w:rsidP="00C10C9C">
      <w:pPr>
        <w:shd w:val="clear" w:color="auto" w:fill="FFFFFF"/>
        <w:spacing w:line="360" w:lineRule="auto"/>
        <w:rPr>
          <w:color w:val="auto"/>
        </w:rPr>
      </w:pPr>
    </w:p>
    <w:p w14:paraId="0E6773D6" w14:textId="77777777" w:rsidR="008C7351" w:rsidRPr="00602E4F" w:rsidRDefault="00FB76DA" w:rsidP="008C7351">
      <w:pPr>
        <w:shd w:val="clear" w:color="auto" w:fill="FFFFFF"/>
        <w:spacing w:line="360" w:lineRule="auto"/>
        <w:ind w:firstLine="1418"/>
        <w:rPr>
          <w:i/>
          <w:color w:val="auto"/>
        </w:rPr>
      </w:pPr>
      <w:r w:rsidRPr="00602E4F">
        <w:rPr>
          <w:color w:val="auto"/>
        </w:rPr>
        <w:t>O demandante</w:t>
      </w:r>
      <w:r w:rsidR="00C10C9C" w:rsidRPr="00602E4F">
        <w:rPr>
          <w:color w:val="auto"/>
        </w:rPr>
        <w:t xml:space="preserve">, </w:t>
      </w:r>
      <w:proofErr w:type="spellStart"/>
      <w:r w:rsidRPr="00602E4F">
        <w:rPr>
          <w:color w:val="auto"/>
        </w:rPr>
        <w:t>i</w:t>
      </w:r>
      <w:r w:rsidR="00C10C9C" w:rsidRPr="00602E4F">
        <w:rPr>
          <w:color w:val="auto"/>
        </w:rPr>
        <w:t>rresignado</w:t>
      </w:r>
      <w:proofErr w:type="spellEnd"/>
      <w:r w:rsidR="00C10C9C" w:rsidRPr="00602E4F">
        <w:rPr>
          <w:color w:val="auto"/>
        </w:rPr>
        <w:t xml:space="preserve"> </w:t>
      </w:r>
      <w:r w:rsidRPr="00602E4F">
        <w:rPr>
          <w:color w:val="auto"/>
        </w:rPr>
        <w:t xml:space="preserve">com </w:t>
      </w:r>
      <w:r w:rsidR="00C10C9C" w:rsidRPr="00602E4F">
        <w:rPr>
          <w:color w:val="auto"/>
        </w:rPr>
        <w:t>a resposta, interpôs reexame, em 06/02/2020, com os seguintes fundamentos</w:t>
      </w:r>
      <w:r w:rsidR="0000012F" w:rsidRPr="00602E4F">
        <w:rPr>
          <w:color w:val="auto"/>
        </w:rPr>
        <w:t>:</w:t>
      </w:r>
      <w:r w:rsidR="00C10C9C" w:rsidRPr="00602E4F">
        <w:rPr>
          <w:color w:val="auto"/>
        </w:rPr>
        <w:t xml:space="preserve"> </w:t>
      </w:r>
      <w:r w:rsidR="00C10C9C" w:rsidRPr="00602E4F">
        <w:rPr>
          <w:i/>
          <w:color w:val="auto"/>
        </w:rPr>
        <w:t xml:space="preserve">“(...) </w:t>
      </w:r>
      <w:r w:rsidR="00C10C9C" w:rsidRPr="00602E4F">
        <w:rPr>
          <w:i/>
          <w:color w:val="auto"/>
          <w:shd w:val="clear" w:color="auto" w:fill="FFFFFF"/>
        </w:rPr>
        <w:t xml:space="preserve">esta informação é de suma importância para todo o setor das águas minerais no estado, visto que temos mantido reuniões constantes com a Secretaria da Fazenda, e para que eles, e </w:t>
      </w:r>
      <w:r w:rsidR="00C10C9C" w:rsidRPr="00602E4F">
        <w:rPr>
          <w:i/>
          <w:color w:val="auto"/>
          <w:shd w:val="clear" w:color="auto" w:fill="FFFFFF"/>
        </w:rPr>
        <w:lastRenderedPageBreak/>
        <w:t xml:space="preserve">nós possamos calcular o impacto dos impostos sob o produto. Neste sentido, rogamos que estas informações sejam fornecidas, pois outros setores como vinho e cerveja já possuem estes dados disponíveis, sendo assim leve o tempo que levar, favor nos repassar estas </w:t>
      </w:r>
      <w:proofErr w:type="gramStart"/>
      <w:r w:rsidR="00C10C9C" w:rsidRPr="00602E4F">
        <w:rPr>
          <w:i/>
          <w:color w:val="auto"/>
          <w:shd w:val="clear" w:color="auto" w:fill="FFFFFF"/>
        </w:rPr>
        <w:t>informações.”</w:t>
      </w:r>
      <w:proofErr w:type="gramEnd"/>
    </w:p>
    <w:p w14:paraId="19B1A94C" w14:textId="77777777" w:rsidR="008C7351" w:rsidRPr="00602E4F" w:rsidRDefault="008C7351" w:rsidP="008C7351">
      <w:pPr>
        <w:shd w:val="clear" w:color="auto" w:fill="FFFFFF"/>
        <w:spacing w:line="360" w:lineRule="auto"/>
        <w:ind w:firstLine="1418"/>
        <w:rPr>
          <w:i/>
          <w:color w:val="auto"/>
        </w:rPr>
      </w:pPr>
    </w:p>
    <w:p w14:paraId="74F4B6DB" w14:textId="7A44BC10" w:rsidR="008C7351" w:rsidRPr="00602E4F" w:rsidRDefault="00750635" w:rsidP="008C7351">
      <w:pPr>
        <w:shd w:val="clear" w:color="auto" w:fill="FFFFFF"/>
        <w:spacing w:line="360" w:lineRule="auto"/>
        <w:ind w:firstLine="1418"/>
        <w:rPr>
          <w:i/>
          <w:color w:val="auto"/>
        </w:rPr>
      </w:pPr>
      <w:r w:rsidRPr="00602E4F">
        <w:rPr>
          <w:color w:val="auto"/>
        </w:rPr>
        <w:t xml:space="preserve">Em </w:t>
      </w:r>
      <w:r w:rsidR="008C7351" w:rsidRPr="00602E4F">
        <w:rPr>
          <w:color w:val="auto"/>
        </w:rPr>
        <w:t>07</w:t>
      </w:r>
      <w:r w:rsidR="0000012F" w:rsidRPr="00602E4F">
        <w:rPr>
          <w:color w:val="auto"/>
        </w:rPr>
        <w:t>/0</w:t>
      </w:r>
      <w:r w:rsidR="008C7351" w:rsidRPr="00602E4F">
        <w:rPr>
          <w:color w:val="auto"/>
        </w:rPr>
        <w:t>2</w:t>
      </w:r>
      <w:r w:rsidR="0000012F" w:rsidRPr="00602E4F">
        <w:rPr>
          <w:color w:val="auto"/>
        </w:rPr>
        <w:t>/20</w:t>
      </w:r>
      <w:r w:rsidR="00972C3B" w:rsidRPr="00602E4F">
        <w:rPr>
          <w:color w:val="auto"/>
        </w:rPr>
        <w:t>20</w:t>
      </w:r>
      <w:r w:rsidR="0000012F" w:rsidRPr="00602E4F">
        <w:rPr>
          <w:color w:val="auto"/>
        </w:rPr>
        <w:t xml:space="preserve">, de ordem de autoridade máxima, </w:t>
      </w:r>
      <w:r w:rsidR="007A634F" w:rsidRPr="00602E4F">
        <w:rPr>
          <w:color w:val="auto"/>
        </w:rPr>
        <w:t xml:space="preserve">a </w:t>
      </w:r>
      <w:r w:rsidR="008C7351" w:rsidRPr="00602E4F">
        <w:rPr>
          <w:color w:val="auto"/>
        </w:rPr>
        <w:t>Secretaria da Fazenda/Receita Estadual r</w:t>
      </w:r>
      <w:r w:rsidR="0000012F" w:rsidRPr="00602E4F">
        <w:rPr>
          <w:color w:val="auto"/>
        </w:rPr>
        <w:t xml:space="preserve">espondeu </w:t>
      </w:r>
      <w:r w:rsidR="00072B2A" w:rsidRPr="00602E4F">
        <w:rPr>
          <w:color w:val="auto"/>
        </w:rPr>
        <w:t xml:space="preserve">o que segue: </w:t>
      </w:r>
      <w:r w:rsidR="00072B2A" w:rsidRPr="00602E4F">
        <w:rPr>
          <w:i/>
          <w:color w:val="auto"/>
        </w:rPr>
        <w:t>“(...) r</w:t>
      </w:r>
      <w:r w:rsidR="008C7351" w:rsidRPr="00602E4F">
        <w:rPr>
          <w:i/>
          <w:color w:val="auto"/>
        </w:rPr>
        <w:t>eiteramos que conforme o Decreto Estadual nº 49.111/2012 (e alterações), que regulamenta, no âmbito da Administração Pública Estadual, a Lei Federal nº 12.527/2011, que regula o acesso a informações previsto no inciso XXXIII do art. 5º, no inciso II do § 3º do art. 37 e no § 2º do art. 216 da Constituição Federal. No art. 8-B do Decreto, explicitam-se casos de não atendimento de pedidos de informações. O inciso III enquadra-se perfeitamente no caso em tela. “Art. 8º-B Não serão atendidos pedidos de acesso à informação: (...) III – que exijam trabalhos adicionais de análise, de interpretação ou de consolidação de dados e de informações ainda não sistematizadas pelo órgão ou entidade da Administração Pública Estadual, ou serviço de produção ou de tratamento de dados que não seja de competência do órgão ou entidade; e</w:t>
      </w:r>
      <w:r w:rsidR="00072B2A" w:rsidRPr="00602E4F">
        <w:rPr>
          <w:i/>
          <w:color w:val="auto"/>
        </w:rPr>
        <w:t xml:space="preserve"> </w:t>
      </w:r>
      <w:proofErr w:type="gramStart"/>
      <w:r w:rsidR="00072B2A" w:rsidRPr="00602E4F">
        <w:rPr>
          <w:i/>
          <w:color w:val="auto"/>
        </w:rPr>
        <w:t>(...).</w:t>
      </w:r>
      <w:r w:rsidR="008C7351" w:rsidRPr="00602E4F">
        <w:rPr>
          <w:i/>
          <w:color w:val="auto"/>
        </w:rPr>
        <w:t>”</w:t>
      </w:r>
      <w:proofErr w:type="gramEnd"/>
    </w:p>
    <w:p w14:paraId="562A8F24" w14:textId="77777777" w:rsidR="0000012F" w:rsidRPr="00602E4F" w:rsidRDefault="0000012F" w:rsidP="00072B2A">
      <w:pPr>
        <w:shd w:val="clear" w:color="auto" w:fill="FFFFFF"/>
        <w:spacing w:line="360" w:lineRule="auto"/>
        <w:rPr>
          <w:color w:val="auto"/>
        </w:rPr>
      </w:pPr>
    </w:p>
    <w:p w14:paraId="6E296631" w14:textId="3A169444" w:rsidR="002201C5" w:rsidRPr="00602E4F" w:rsidRDefault="000B2F25" w:rsidP="00072B2A">
      <w:pPr>
        <w:pStyle w:val="PargrafoNormal"/>
        <w:spacing w:after="0"/>
        <w:rPr>
          <w:i/>
          <w:color w:val="auto"/>
        </w:rPr>
      </w:pPr>
      <w:r w:rsidRPr="00602E4F">
        <w:rPr>
          <w:color w:val="auto"/>
        </w:rPr>
        <w:t xml:space="preserve">Em </w:t>
      </w:r>
      <w:r w:rsidR="00072B2A" w:rsidRPr="00602E4F">
        <w:rPr>
          <w:color w:val="auto"/>
        </w:rPr>
        <w:t>08</w:t>
      </w:r>
      <w:r w:rsidR="002201C5" w:rsidRPr="00602E4F">
        <w:rPr>
          <w:color w:val="auto"/>
        </w:rPr>
        <w:t>/0</w:t>
      </w:r>
      <w:r w:rsidR="00072B2A" w:rsidRPr="00602E4F">
        <w:rPr>
          <w:color w:val="auto"/>
        </w:rPr>
        <w:t>2</w:t>
      </w:r>
      <w:r w:rsidR="002201C5" w:rsidRPr="00602E4F">
        <w:rPr>
          <w:color w:val="auto"/>
        </w:rPr>
        <w:t>/20</w:t>
      </w:r>
      <w:r w:rsidR="00972C3B" w:rsidRPr="00602E4F">
        <w:rPr>
          <w:color w:val="auto"/>
        </w:rPr>
        <w:t>20</w:t>
      </w:r>
      <w:r w:rsidR="002201C5" w:rsidRPr="00602E4F">
        <w:rPr>
          <w:color w:val="auto"/>
        </w:rPr>
        <w:t xml:space="preserve">, o demandante </w:t>
      </w:r>
      <w:r w:rsidR="00072B2A" w:rsidRPr="00602E4F">
        <w:rPr>
          <w:color w:val="auto"/>
        </w:rPr>
        <w:t>interpôs</w:t>
      </w:r>
      <w:r w:rsidR="00972C3B" w:rsidRPr="00602E4F">
        <w:rPr>
          <w:color w:val="auto"/>
        </w:rPr>
        <w:t xml:space="preserve"> </w:t>
      </w:r>
      <w:r w:rsidR="002201C5" w:rsidRPr="00602E4F">
        <w:rPr>
          <w:color w:val="auto"/>
        </w:rPr>
        <w:t>recurso</w:t>
      </w:r>
      <w:r w:rsidR="00072B2A" w:rsidRPr="00602E4F">
        <w:rPr>
          <w:color w:val="auto"/>
        </w:rPr>
        <w:t xml:space="preserve"> com os seguintes fundamentos</w:t>
      </w:r>
      <w:r w:rsidR="002201C5" w:rsidRPr="00602E4F">
        <w:rPr>
          <w:color w:val="auto"/>
        </w:rPr>
        <w:t>:</w:t>
      </w:r>
      <w:r w:rsidR="00762B5E" w:rsidRPr="00602E4F">
        <w:rPr>
          <w:color w:val="auto"/>
        </w:rPr>
        <w:t xml:space="preserve"> </w:t>
      </w:r>
      <w:r w:rsidR="00762B5E" w:rsidRPr="00602E4F">
        <w:rPr>
          <w:i/>
          <w:color w:val="auto"/>
        </w:rPr>
        <w:t xml:space="preserve">”(...) </w:t>
      </w:r>
      <w:r w:rsidR="00762B5E" w:rsidRPr="00602E4F">
        <w:rPr>
          <w:i/>
          <w:color w:val="auto"/>
          <w:shd w:val="clear" w:color="auto" w:fill="FFFFFF"/>
        </w:rPr>
        <w:t xml:space="preserve">como as informações são de competência da Receita Estadual, e como vocês estão dizendo que eles não tem competência pra fazer tratamento de dados, queremos que nos repassem dados abertos referentes a comercialização de bebidas nos últimos quatro anos, para que nos mesmos façamos as </w:t>
      </w:r>
      <w:proofErr w:type="gramStart"/>
      <w:r w:rsidR="00762B5E" w:rsidRPr="00602E4F">
        <w:rPr>
          <w:i/>
          <w:color w:val="auto"/>
          <w:shd w:val="clear" w:color="auto" w:fill="FFFFFF"/>
        </w:rPr>
        <w:t>totalizações.”</w:t>
      </w:r>
      <w:proofErr w:type="gramEnd"/>
    </w:p>
    <w:p w14:paraId="55270C19" w14:textId="77777777" w:rsidR="00072B2A" w:rsidRPr="00602E4F" w:rsidRDefault="00072B2A" w:rsidP="00072B2A">
      <w:pPr>
        <w:pStyle w:val="PargrafoNormal"/>
        <w:spacing w:after="0"/>
        <w:rPr>
          <w:i/>
          <w:color w:val="auto"/>
          <w:sz w:val="20"/>
          <w:szCs w:val="20"/>
        </w:rPr>
      </w:pPr>
    </w:p>
    <w:p w14:paraId="5607FF09" w14:textId="77777777" w:rsidR="00072B2A" w:rsidRPr="00602E4F" w:rsidRDefault="00072B2A" w:rsidP="00072B2A">
      <w:pPr>
        <w:pStyle w:val="PargrafoNormal"/>
        <w:spacing w:after="0"/>
        <w:rPr>
          <w:color w:val="auto"/>
          <w:sz w:val="20"/>
          <w:szCs w:val="20"/>
        </w:rPr>
      </w:pPr>
    </w:p>
    <w:p w14:paraId="454248EE" w14:textId="77777777" w:rsidR="002201C5" w:rsidRPr="00602E4F" w:rsidRDefault="002201C5" w:rsidP="00A973BD">
      <w:pPr>
        <w:pStyle w:val="PargrafoNormal"/>
        <w:spacing w:after="0"/>
        <w:rPr>
          <w:color w:val="auto"/>
        </w:rPr>
      </w:pPr>
    </w:p>
    <w:p w14:paraId="1AF4B84B" w14:textId="77777777" w:rsidR="00023AE6" w:rsidRPr="00602E4F" w:rsidRDefault="00A531EB" w:rsidP="00023AE6">
      <w:pPr>
        <w:pStyle w:val="PargrafoNormal"/>
        <w:spacing w:after="0"/>
        <w:rPr>
          <w:color w:val="auto"/>
        </w:rPr>
      </w:pPr>
      <w:r w:rsidRPr="00602E4F">
        <w:rPr>
          <w:color w:val="auto"/>
        </w:rPr>
        <w:t>Veio o recurso a esta CMRI/RS.</w:t>
      </w:r>
    </w:p>
    <w:p w14:paraId="394EC2F4" w14:textId="77777777" w:rsidR="00750635" w:rsidRPr="00602E4F" w:rsidRDefault="00A531EB" w:rsidP="00A973BD">
      <w:pPr>
        <w:pStyle w:val="PargrafoNormal"/>
        <w:spacing w:after="0"/>
        <w:rPr>
          <w:color w:val="auto"/>
        </w:rPr>
      </w:pPr>
      <w:r w:rsidRPr="00602E4F">
        <w:rPr>
          <w:color w:val="auto"/>
        </w:rPr>
        <w:t>Após, foi a mim distribuído para julgamento.</w:t>
      </w:r>
    </w:p>
    <w:p w14:paraId="1D99DCD7" w14:textId="77777777" w:rsidR="00A531EB" w:rsidRPr="00602E4F" w:rsidRDefault="00A531EB" w:rsidP="00A531EB">
      <w:pPr>
        <w:pStyle w:val="PargrafoNormal"/>
        <w:spacing w:after="0"/>
        <w:rPr>
          <w:color w:val="auto"/>
        </w:rPr>
      </w:pPr>
      <w:r w:rsidRPr="00602E4F">
        <w:rPr>
          <w:color w:val="auto"/>
        </w:rPr>
        <w:t>É o relatório.</w:t>
      </w:r>
    </w:p>
    <w:p w14:paraId="32B9E18C" w14:textId="77777777" w:rsidR="007C38DC" w:rsidRPr="00602E4F" w:rsidRDefault="007C38DC" w:rsidP="00762B5E">
      <w:pPr>
        <w:pStyle w:val="PargrafoNormal"/>
        <w:spacing w:after="0"/>
        <w:ind w:firstLine="0"/>
        <w:rPr>
          <w:color w:val="auto"/>
        </w:rPr>
      </w:pPr>
    </w:p>
    <w:p w14:paraId="200E8F9A" w14:textId="77777777" w:rsidR="00A531EB" w:rsidRPr="00602E4F" w:rsidRDefault="00A973BD" w:rsidP="00A531EB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602E4F">
        <w:rPr>
          <w:color w:val="auto"/>
          <w:sz w:val="24"/>
          <w:szCs w:val="24"/>
        </w:rPr>
        <w:t>VOTOS</w:t>
      </w:r>
    </w:p>
    <w:p w14:paraId="0F42B79E" w14:textId="77777777" w:rsidR="00762B5E" w:rsidRPr="00602E4F" w:rsidRDefault="00762B5E" w:rsidP="00762B5E">
      <w:pPr>
        <w:pStyle w:val="TtuloPrincipal"/>
        <w:keepNext w:val="0"/>
        <w:spacing w:before="0" w:after="0"/>
        <w:jc w:val="both"/>
        <w:rPr>
          <w:color w:val="auto"/>
          <w:sz w:val="24"/>
          <w:szCs w:val="24"/>
        </w:rPr>
      </w:pPr>
    </w:p>
    <w:p w14:paraId="0D8AE3BF" w14:textId="77777777" w:rsidR="00762B5E" w:rsidRPr="00602E4F" w:rsidRDefault="00762B5E" w:rsidP="00762B5E">
      <w:pPr>
        <w:pStyle w:val="NomeJulgadorPadro"/>
        <w:spacing w:after="0"/>
        <w:rPr>
          <w:b w:val="0"/>
          <w:caps w:val="0"/>
          <w:color w:val="auto"/>
          <w:u w:val="single"/>
        </w:rPr>
      </w:pPr>
      <w:r w:rsidRPr="00602E4F">
        <w:rPr>
          <w:color w:val="auto"/>
          <w:u w:val="single"/>
        </w:rPr>
        <w:t>sECRETARIA DE gOVERNANÇA E GESTÃO ESTRATÉGICa (RElATOR)</w:t>
      </w:r>
      <w:r w:rsidRPr="00602E4F">
        <w:rPr>
          <w:b w:val="0"/>
          <w:caps w:val="0"/>
          <w:color w:val="auto"/>
          <w:u w:val="single"/>
        </w:rPr>
        <w:t xml:space="preserve"> –</w:t>
      </w:r>
    </w:p>
    <w:p w14:paraId="66AF847A" w14:textId="77777777" w:rsidR="00750635" w:rsidRPr="00602E4F" w:rsidRDefault="00750635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767A266A" w14:textId="3AE506D1" w:rsidR="00750635" w:rsidRPr="00602E4F" w:rsidRDefault="00A531EB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602E4F">
        <w:rPr>
          <w:color w:val="auto"/>
          <w:lang w:eastAsia="ar-SA"/>
        </w:rPr>
        <w:t>Eminentes Colegas</w:t>
      </w:r>
      <w:r w:rsidR="005C7F6A" w:rsidRPr="00602E4F">
        <w:rPr>
          <w:color w:val="auto"/>
          <w:lang w:eastAsia="ar-SA"/>
        </w:rPr>
        <w:t>,</w:t>
      </w:r>
    </w:p>
    <w:p w14:paraId="2C0984F4" w14:textId="27514365" w:rsidR="00451019" w:rsidRPr="00602E4F" w:rsidRDefault="00451019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739349DD" w14:textId="3B411D34" w:rsidR="00451019" w:rsidRPr="00602E4F" w:rsidRDefault="00451019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602E4F">
        <w:rPr>
          <w:color w:val="auto"/>
          <w:lang w:eastAsia="ar-SA"/>
        </w:rPr>
        <w:t>Verifico que a irresignação recursal é de fácil compreensão e pode ser resolvida através das disposições da Súmula CMRI/RS nº 06:</w:t>
      </w:r>
    </w:p>
    <w:p w14:paraId="4C0A2962" w14:textId="77777777" w:rsidR="00451019" w:rsidRPr="00602E4F" w:rsidRDefault="00451019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3CE2781B" w14:textId="7C75F8BA" w:rsidR="00451019" w:rsidRPr="00602E4F" w:rsidRDefault="00451019" w:rsidP="00451019">
      <w:pPr>
        <w:suppressAutoHyphens/>
        <w:spacing w:line="360" w:lineRule="auto"/>
        <w:ind w:left="1985"/>
        <w:rPr>
          <w:i/>
          <w:color w:val="auto"/>
          <w:lang w:eastAsia="ar-SA"/>
        </w:rPr>
      </w:pPr>
      <w:r w:rsidRPr="00602E4F">
        <w:rPr>
          <w:bCs/>
          <w:i/>
          <w:color w:val="auto"/>
          <w:shd w:val="clear" w:color="auto" w:fill="FFFFFF"/>
        </w:rPr>
        <w:t xml:space="preserve">“Não se mostra exigível trabalho adicional de análise, interpretação ou consolidação de dados e de informações ainda não sistematizadas pelo órgão ou entidade, 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</w:t>
      </w:r>
      <w:proofErr w:type="gramStart"/>
      <w:r w:rsidRPr="00602E4F">
        <w:rPr>
          <w:bCs/>
          <w:i/>
          <w:color w:val="auto"/>
          <w:shd w:val="clear" w:color="auto" w:fill="FFFFFF"/>
        </w:rPr>
        <w:t>acesso.”</w:t>
      </w:r>
      <w:proofErr w:type="gramEnd"/>
    </w:p>
    <w:p w14:paraId="043E3DBD" w14:textId="77777777" w:rsidR="00451019" w:rsidRPr="00602E4F" w:rsidRDefault="00451019" w:rsidP="002E39FF">
      <w:pPr>
        <w:suppressAutoHyphens/>
        <w:spacing w:line="360" w:lineRule="auto"/>
        <w:rPr>
          <w:color w:val="auto"/>
          <w:lang w:eastAsia="ar-SA"/>
        </w:rPr>
      </w:pPr>
    </w:p>
    <w:p w14:paraId="24E63029" w14:textId="708D0BCE" w:rsidR="002E39FF" w:rsidRPr="00602E4F" w:rsidRDefault="002E39FF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602E4F">
        <w:rPr>
          <w:color w:val="auto"/>
          <w:lang w:eastAsia="ar-SA"/>
        </w:rPr>
        <w:t xml:space="preserve">Portanto, entendo que deverá ser facultado ao recorrente, resguardadas eventuais hipóteses de sigilo, a possibilidade de que ele próprio consulte os dados pretendidos, mediante agendamento prévio e com o acompanhamento de um servidor designado pelo órgão recorrido (ao longo da </w:t>
      </w:r>
      <w:r w:rsidRPr="00602E4F">
        <w:rPr>
          <w:color w:val="auto"/>
          <w:lang w:eastAsia="ar-SA"/>
        </w:rPr>
        <w:lastRenderedPageBreak/>
        <w:t xml:space="preserve">pesquisa). Registre-se, ainda, que deverão ser oportunizados tantos acessos quanto forem necessários para a compilação dos dados registrados no pedido inicial. </w:t>
      </w:r>
      <w:r w:rsidR="00B80275" w:rsidRPr="00602E4F">
        <w:rPr>
          <w:color w:val="auto"/>
          <w:lang w:eastAsia="ar-SA"/>
        </w:rPr>
        <w:t>E, c</w:t>
      </w:r>
      <w:r w:rsidRPr="00602E4F">
        <w:rPr>
          <w:color w:val="auto"/>
          <w:lang w:eastAsia="ar-SA"/>
        </w:rPr>
        <w:t>aso este procedimento não seja possível, o recorrido deverá apresentar justificativa específica que fundamente a impossibilidade de pesquisa das informações pelo próprio recorrente</w:t>
      </w:r>
      <w:r w:rsidR="00B80275" w:rsidRPr="00602E4F">
        <w:rPr>
          <w:color w:val="auto"/>
          <w:lang w:eastAsia="ar-SA"/>
        </w:rPr>
        <w:t>, sob pena de ser configurada restrição indevida de acesso</w:t>
      </w:r>
      <w:r w:rsidRPr="00602E4F">
        <w:rPr>
          <w:color w:val="auto"/>
          <w:lang w:eastAsia="ar-SA"/>
        </w:rPr>
        <w:t>.</w:t>
      </w:r>
    </w:p>
    <w:p w14:paraId="285923B9" w14:textId="77777777" w:rsidR="00516F0A" w:rsidRPr="00602E4F" w:rsidRDefault="00516F0A" w:rsidP="002E39FF">
      <w:pPr>
        <w:suppressAutoHyphens/>
        <w:spacing w:line="360" w:lineRule="auto"/>
        <w:rPr>
          <w:color w:val="auto"/>
          <w:lang w:eastAsia="ar-SA"/>
        </w:rPr>
      </w:pPr>
    </w:p>
    <w:p w14:paraId="4099D6A5" w14:textId="64CBA8DC" w:rsidR="00984D2B" w:rsidRPr="00602E4F" w:rsidRDefault="0042429C" w:rsidP="0042429C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602E4F">
        <w:rPr>
          <w:color w:val="auto"/>
          <w:lang w:eastAsia="ar-SA"/>
        </w:rPr>
        <w:t>Portanto</w:t>
      </w:r>
      <w:r w:rsidR="00984D2B" w:rsidRPr="00602E4F">
        <w:rPr>
          <w:color w:val="auto"/>
          <w:lang w:eastAsia="ar-SA"/>
        </w:rPr>
        <w:t xml:space="preserve">, </w:t>
      </w:r>
      <w:r w:rsidR="00463861" w:rsidRPr="00602E4F">
        <w:rPr>
          <w:color w:val="auto"/>
          <w:lang w:eastAsia="ar-SA"/>
        </w:rPr>
        <w:t xml:space="preserve">pelas razões fáticas e jurídicas ora apresentadas, </w:t>
      </w:r>
      <w:r w:rsidR="00451019" w:rsidRPr="00602E4F">
        <w:rPr>
          <w:color w:val="auto"/>
          <w:lang w:eastAsia="ar-SA"/>
        </w:rPr>
        <w:t>o voto vai no sentido do parcial provimento do recurso</w:t>
      </w:r>
      <w:r w:rsidR="00FE242B" w:rsidRPr="00602E4F">
        <w:rPr>
          <w:color w:val="auto"/>
          <w:lang w:eastAsia="ar-SA"/>
        </w:rPr>
        <w:t>.</w:t>
      </w:r>
    </w:p>
    <w:p w14:paraId="68CC3E86" w14:textId="77777777" w:rsidR="00984D2B" w:rsidRPr="00602E4F" w:rsidRDefault="00984D2B" w:rsidP="008054E4">
      <w:pPr>
        <w:pStyle w:val="PargrafoNormal"/>
        <w:spacing w:after="0"/>
        <w:ind w:firstLine="1440"/>
        <w:rPr>
          <w:b/>
          <w:color w:val="auto"/>
        </w:rPr>
      </w:pPr>
    </w:p>
    <w:p w14:paraId="7E877890" w14:textId="1F481991" w:rsidR="007758E1" w:rsidRPr="00602E4F" w:rsidRDefault="00A531EB" w:rsidP="008054E4">
      <w:pPr>
        <w:pStyle w:val="PargrafoNormal"/>
        <w:spacing w:after="0"/>
        <w:ind w:firstLine="1440"/>
        <w:rPr>
          <w:color w:val="auto"/>
        </w:rPr>
      </w:pPr>
      <w:r w:rsidRPr="00602E4F">
        <w:rPr>
          <w:b/>
          <w:color w:val="auto"/>
        </w:rPr>
        <w:t xml:space="preserve">Recurso na Demanda nº </w:t>
      </w:r>
      <w:r w:rsidR="00451019" w:rsidRPr="00602E4F">
        <w:rPr>
          <w:b/>
          <w:color w:val="auto"/>
        </w:rPr>
        <w:t>24.951</w:t>
      </w:r>
      <w:r w:rsidRPr="00602E4F">
        <w:rPr>
          <w:b/>
          <w:color w:val="auto"/>
        </w:rPr>
        <w:t xml:space="preserve">: </w:t>
      </w:r>
      <w:r w:rsidRPr="00602E4F">
        <w:rPr>
          <w:color w:val="auto"/>
        </w:rPr>
        <w:t>“</w:t>
      </w:r>
      <w:r w:rsidR="00451019" w:rsidRPr="00602E4F">
        <w:rPr>
          <w:color w:val="auto"/>
        </w:rPr>
        <w:t xml:space="preserve">Parcial provimento ao recurso, </w:t>
      </w:r>
      <w:r w:rsidR="004B786B" w:rsidRPr="00602E4F">
        <w:rPr>
          <w:color w:val="auto"/>
        </w:rPr>
        <w:t xml:space="preserve">por </w:t>
      </w:r>
      <w:proofErr w:type="gramStart"/>
      <w:r w:rsidR="004B786B" w:rsidRPr="00602E4F">
        <w:rPr>
          <w:color w:val="auto"/>
        </w:rPr>
        <w:t>unanimidade</w:t>
      </w:r>
      <w:r w:rsidR="005C11F8" w:rsidRPr="00602E4F">
        <w:rPr>
          <w:color w:val="auto"/>
        </w:rPr>
        <w:t>.”</w:t>
      </w:r>
      <w:bookmarkEnd w:id="0"/>
      <w:proofErr w:type="gramEnd"/>
    </w:p>
    <w:sectPr w:rsidR="007758E1" w:rsidRPr="00602E4F" w:rsidSect="007758E1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5CFE" w14:textId="77777777" w:rsidR="007E1132" w:rsidRDefault="007E1132" w:rsidP="007758E1">
      <w:r>
        <w:separator/>
      </w:r>
    </w:p>
  </w:endnote>
  <w:endnote w:type="continuationSeparator" w:id="0">
    <w:p w14:paraId="27C5EED2" w14:textId="77777777" w:rsidR="007E1132" w:rsidRDefault="007E1132" w:rsidP="007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875301"/>
      <w:docPartObj>
        <w:docPartGallery w:val="Page Numbers (Bottom of Page)"/>
        <w:docPartUnique/>
      </w:docPartObj>
    </w:sdtPr>
    <w:sdtEndPr/>
    <w:sdtContent>
      <w:p w14:paraId="0ABD5217" w14:textId="36CEBA87" w:rsidR="002314D5" w:rsidRDefault="002314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4F">
          <w:rPr>
            <w:noProof/>
          </w:rPr>
          <w:t>5</w:t>
        </w:r>
        <w:r>
          <w:fldChar w:fldCharType="end"/>
        </w:r>
      </w:p>
    </w:sdtContent>
  </w:sdt>
  <w:p w14:paraId="0211DBAA" w14:textId="30A6D16F" w:rsidR="007B19CD" w:rsidRDefault="007B19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A09B" w14:textId="77777777" w:rsidR="007E1132" w:rsidRDefault="007E1132" w:rsidP="007758E1">
      <w:r>
        <w:separator/>
      </w:r>
    </w:p>
  </w:footnote>
  <w:footnote w:type="continuationSeparator" w:id="0">
    <w:p w14:paraId="4C46F697" w14:textId="77777777" w:rsidR="007E1132" w:rsidRDefault="007E1132" w:rsidP="0077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D92E" w14:textId="77777777" w:rsidR="007B19CD" w:rsidRDefault="007B19CD">
    <w:pPr>
      <w:pStyle w:val="Cabealho"/>
      <w:jc w:val="center"/>
    </w:pPr>
  </w:p>
  <w:p w14:paraId="52C57AE6" w14:textId="77777777" w:rsidR="007B19CD" w:rsidRDefault="007B19CD">
    <w:pPr>
      <w:pStyle w:val="Cabealho"/>
      <w:jc w:val="center"/>
    </w:pPr>
  </w:p>
  <w:p w14:paraId="7D08A470" w14:textId="77777777" w:rsidR="007B19CD" w:rsidRDefault="007B19CD">
    <w:pPr>
      <w:pStyle w:val="Cabealho"/>
      <w:jc w:val="center"/>
    </w:pPr>
  </w:p>
  <w:p w14:paraId="4F99698D" w14:textId="77777777" w:rsidR="007B19CD" w:rsidRDefault="003E095B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0" wp14:anchorId="14BE6CFA" wp14:editId="6867682B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4200C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391E51D0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5B357027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BE6CFA" id="Group 5" o:spid="_x0000_s1026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14:paraId="6214200C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391E51D0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5B357027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4B7332A5" w14:textId="77777777" w:rsidR="007B19CD" w:rsidRDefault="007B19CD">
    <w:pPr>
      <w:pStyle w:val="Cabealho"/>
      <w:jc w:val="center"/>
    </w:pPr>
  </w:p>
  <w:p w14:paraId="1D6AB76A" w14:textId="77777777" w:rsidR="007B19CD" w:rsidRDefault="007B19CD">
    <w:pPr>
      <w:pStyle w:val="Cabealho"/>
    </w:pPr>
  </w:p>
  <w:p w14:paraId="220B1E53" w14:textId="77777777" w:rsidR="00653B30" w:rsidRDefault="00653B30">
    <w:pPr>
      <w:pStyle w:val="Cabealho"/>
    </w:pPr>
  </w:p>
  <w:p w14:paraId="1F970E33" w14:textId="77777777" w:rsidR="007B19CD" w:rsidRDefault="007B19CD">
    <w:pPr>
      <w:pStyle w:val="Cabealho"/>
    </w:pPr>
  </w:p>
  <w:p w14:paraId="01088F47" w14:textId="38AAB859" w:rsidR="009E5E6E" w:rsidRPr="00B27D06" w:rsidRDefault="009E5E6E" w:rsidP="00B27D06">
    <w:pPr>
      <w:pStyle w:val="Cabealho"/>
      <w:tabs>
        <w:tab w:val="clear" w:pos="4419"/>
        <w:tab w:val="clear" w:pos="8838"/>
        <w:tab w:val="left" w:pos="2907"/>
      </w:tabs>
      <w:rPr>
        <w:color w:val="auto"/>
      </w:rPr>
    </w:pPr>
    <w:r w:rsidRPr="00B27D06">
      <w:rPr>
        <w:color w:val="auto"/>
      </w:rPr>
      <w:t>S</w:t>
    </w:r>
    <w:r w:rsidR="009A6B19">
      <w:rPr>
        <w:color w:val="auto"/>
      </w:rPr>
      <w:t>GGE</w:t>
    </w:r>
    <w:r w:rsidR="00B27D06" w:rsidRPr="00B27D06">
      <w:rPr>
        <w:color w:val="auto"/>
      </w:rPr>
      <w:tab/>
    </w:r>
  </w:p>
  <w:p w14:paraId="406D349D" w14:textId="25CD3AD7" w:rsidR="007B19CD" w:rsidRPr="00B27D06" w:rsidRDefault="00A531EB">
    <w:pPr>
      <w:pStyle w:val="Cabealho"/>
      <w:rPr>
        <w:color w:val="auto"/>
      </w:rPr>
    </w:pPr>
    <w:r w:rsidRPr="00B27D06">
      <w:rPr>
        <w:color w:val="auto"/>
      </w:rPr>
      <w:t xml:space="preserve">decisão Nº </w:t>
    </w:r>
    <w:r w:rsidR="009A6B19">
      <w:rPr>
        <w:color w:val="auto"/>
      </w:rPr>
      <w:t>06</w:t>
    </w:r>
    <w:r w:rsidR="007B19CD" w:rsidRPr="00B27D06">
      <w:rPr>
        <w:color w:val="auto"/>
      </w:rPr>
      <w:t>/20</w:t>
    </w:r>
    <w:r w:rsidR="00291F61" w:rsidRPr="00B27D06">
      <w:rPr>
        <w:color w:val="auto"/>
      </w:rPr>
      <w:t>20</w:t>
    </w:r>
  </w:p>
  <w:p w14:paraId="3888501E" w14:textId="20D48611" w:rsidR="007B19CD" w:rsidRPr="00B27D06" w:rsidRDefault="000A5570">
    <w:pPr>
      <w:pStyle w:val="Cabealho"/>
      <w:tabs>
        <w:tab w:val="right" w:pos="8460"/>
      </w:tabs>
      <w:rPr>
        <w:color w:val="auto"/>
      </w:rPr>
    </w:pPr>
    <w:r w:rsidRPr="00B27D06">
      <w:rPr>
        <w:color w:val="auto"/>
      </w:rPr>
      <w:t>20</w:t>
    </w:r>
    <w:r w:rsidR="00291F61" w:rsidRPr="00B27D06">
      <w:rPr>
        <w:color w:val="auto"/>
      </w:rPr>
      <w:t>20</w:t>
    </w:r>
    <w:r w:rsidRPr="00B27D06">
      <w:rPr>
        <w:color w:val="auto"/>
      </w:rPr>
      <w:t>/</w:t>
    </w:r>
    <w:r w:rsidR="009A6B19">
      <w:rPr>
        <w:color w:val="auto"/>
      </w:rPr>
      <w:t>SEFAZ/RECEITA ESTADUAL</w:t>
    </w:r>
  </w:p>
  <w:p w14:paraId="60764F1C" w14:textId="77777777"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C6C7B"/>
    <w:multiLevelType w:val="multilevel"/>
    <w:tmpl w:val="DF8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D5EA4"/>
    <w:multiLevelType w:val="multilevel"/>
    <w:tmpl w:val="0D4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A0784"/>
    <w:multiLevelType w:val="hybridMultilevel"/>
    <w:tmpl w:val="8974CBB0"/>
    <w:lvl w:ilvl="0" w:tplc="35D476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1"/>
    <w:rsid w:val="0000012F"/>
    <w:rsid w:val="00004485"/>
    <w:rsid w:val="0000506F"/>
    <w:rsid w:val="00007D38"/>
    <w:rsid w:val="00023AE6"/>
    <w:rsid w:val="00042441"/>
    <w:rsid w:val="00056CC3"/>
    <w:rsid w:val="00057C92"/>
    <w:rsid w:val="000676EB"/>
    <w:rsid w:val="00072B2A"/>
    <w:rsid w:val="000A5570"/>
    <w:rsid w:val="000A7952"/>
    <w:rsid w:val="000B2F25"/>
    <w:rsid w:val="000D1448"/>
    <w:rsid w:val="000E3D22"/>
    <w:rsid w:val="000E71E4"/>
    <w:rsid w:val="00104980"/>
    <w:rsid w:val="00113694"/>
    <w:rsid w:val="00113ACE"/>
    <w:rsid w:val="001157B6"/>
    <w:rsid w:val="0011599F"/>
    <w:rsid w:val="001342A3"/>
    <w:rsid w:val="00135DCB"/>
    <w:rsid w:val="00146810"/>
    <w:rsid w:val="001935F1"/>
    <w:rsid w:val="001F4DCF"/>
    <w:rsid w:val="0020448F"/>
    <w:rsid w:val="0020492B"/>
    <w:rsid w:val="00206708"/>
    <w:rsid w:val="002201C5"/>
    <w:rsid w:val="002253A1"/>
    <w:rsid w:val="002314D5"/>
    <w:rsid w:val="00250424"/>
    <w:rsid w:val="00250FFE"/>
    <w:rsid w:val="00266EE3"/>
    <w:rsid w:val="002824E8"/>
    <w:rsid w:val="002910B5"/>
    <w:rsid w:val="00291F61"/>
    <w:rsid w:val="002960C7"/>
    <w:rsid w:val="002974BA"/>
    <w:rsid w:val="002A79F1"/>
    <w:rsid w:val="002B3D10"/>
    <w:rsid w:val="002C03BF"/>
    <w:rsid w:val="002D5584"/>
    <w:rsid w:val="002E2EE9"/>
    <w:rsid w:val="002E39FF"/>
    <w:rsid w:val="002F3136"/>
    <w:rsid w:val="002F5568"/>
    <w:rsid w:val="00315AFA"/>
    <w:rsid w:val="0032014A"/>
    <w:rsid w:val="00335BC1"/>
    <w:rsid w:val="003371EA"/>
    <w:rsid w:val="00346EBA"/>
    <w:rsid w:val="003509A0"/>
    <w:rsid w:val="00360AA5"/>
    <w:rsid w:val="00361F6C"/>
    <w:rsid w:val="00366667"/>
    <w:rsid w:val="0037062D"/>
    <w:rsid w:val="003751A4"/>
    <w:rsid w:val="00397EDF"/>
    <w:rsid w:val="003A7515"/>
    <w:rsid w:val="003B2267"/>
    <w:rsid w:val="003C39F0"/>
    <w:rsid w:val="003E095B"/>
    <w:rsid w:val="003E096E"/>
    <w:rsid w:val="003E1882"/>
    <w:rsid w:val="003E64B1"/>
    <w:rsid w:val="003E6BFA"/>
    <w:rsid w:val="004213EA"/>
    <w:rsid w:val="00424244"/>
    <w:rsid w:val="0042429C"/>
    <w:rsid w:val="00440968"/>
    <w:rsid w:val="00451019"/>
    <w:rsid w:val="00452346"/>
    <w:rsid w:val="00463861"/>
    <w:rsid w:val="004A2399"/>
    <w:rsid w:val="004A6BA1"/>
    <w:rsid w:val="004B0BB2"/>
    <w:rsid w:val="004B5864"/>
    <w:rsid w:val="004B786B"/>
    <w:rsid w:val="004D4AB2"/>
    <w:rsid w:val="004E4399"/>
    <w:rsid w:val="005033BD"/>
    <w:rsid w:val="005056FA"/>
    <w:rsid w:val="00516F0A"/>
    <w:rsid w:val="005262EA"/>
    <w:rsid w:val="00527E7B"/>
    <w:rsid w:val="005337EA"/>
    <w:rsid w:val="0053588C"/>
    <w:rsid w:val="00536C22"/>
    <w:rsid w:val="00556F78"/>
    <w:rsid w:val="00563384"/>
    <w:rsid w:val="00573034"/>
    <w:rsid w:val="005761B7"/>
    <w:rsid w:val="0058747A"/>
    <w:rsid w:val="005B19E9"/>
    <w:rsid w:val="005B2121"/>
    <w:rsid w:val="005B3A6B"/>
    <w:rsid w:val="005B675B"/>
    <w:rsid w:val="005C11F8"/>
    <w:rsid w:val="005C7F6A"/>
    <w:rsid w:val="005D3BE6"/>
    <w:rsid w:val="005E79B2"/>
    <w:rsid w:val="005E7B2F"/>
    <w:rsid w:val="005F0E34"/>
    <w:rsid w:val="005F0F97"/>
    <w:rsid w:val="00602307"/>
    <w:rsid w:val="00602E4F"/>
    <w:rsid w:val="00614F27"/>
    <w:rsid w:val="00647D79"/>
    <w:rsid w:val="00653B30"/>
    <w:rsid w:val="006640DA"/>
    <w:rsid w:val="00680070"/>
    <w:rsid w:val="0068115C"/>
    <w:rsid w:val="0068569A"/>
    <w:rsid w:val="00691554"/>
    <w:rsid w:val="00692B38"/>
    <w:rsid w:val="0069363F"/>
    <w:rsid w:val="006A5040"/>
    <w:rsid w:val="006C21F6"/>
    <w:rsid w:val="006C39C6"/>
    <w:rsid w:val="006C5433"/>
    <w:rsid w:val="006C54A5"/>
    <w:rsid w:val="006C5585"/>
    <w:rsid w:val="006D616D"/>
    <w:rsid w:val="006E38B6"/>
    <w:rsid w:val="00707467"/>
    <w:rsid w:val="00712717"/>
    <w:rsid w:val="00722108"/>
    <w:rsid w:val="007279F2"/>
    <w:rsid w:val="00737489"/>
    <w:rsid w:val="00750635"/>
    <w:rsid w:val="007549B0"/>
    <w:rsid w:val="007571BD"/>
    <w:rsid w:val="00762B5E"/>
    <w:rsid w:val="007758E1"/>
    <w:rsid w:val="00795586"/>
    <w:rsid w:val="007A224E"/>
    <w:rsid w:val="007A42A5"/>
    <w:rsid w:val="007A634F"/>
    <w:rsid w:val="007A741F"/>
    <w:rsid w:val="007B1467"/>
    <w:rsid w:val="007B19CD"/>
    <w:rsid w:val="007B7991"/>
    <w:rsid w:val="007C38DC"/>
    <w:rsid w:val="007C60CF"/>
    <w:rsid w:val="007D1549"/>
    <w:rsid w:val="007D606B"/>
    <w:rsid w:val="007E1132"/>
    <w:rsid w:val="007E1D81"/>
    <w:rsid w:val="007E3110"/>
    <w:rsid w:val="008054E4"/>
    <w:rsid w:val="00825841"/>
    <w:rsid w:val="0083274A"/>
    <w:rsid w:val="0086102E"/>
    <w:rsid w:val="00884E4D"/>
    <w:rsid w:val="008922DA"/>
    <w:rsid w:val="008B452B"/>
    <w:rsid w:val="008C7351"/>
    <w:rsid w:val="008F0133"/>
    <w:rsid w:val="00902EFD"/>
    <w:rsid w:val="00930E01"/>
    <w:rsid w:val="00951DE0"/>
    <w:rsid w:val="00953BB9"/>
    <w:rsid w:val="00962302"/>
    <w:rsid w:val="00972C3B"/>
    <w:rsid w:val="009746AE"/>
    <w:rsid w:val="00981542"/>
    <w:rsid w:val="00984D2B"/>
    <w:rsid w:val="009A1363"/>
    <w:rsid w:val="009A13C2"/>
    <w:rsid w:val="009A6B19"/>
    <w:rsid w:val="009B65C7"/>
    <w:rsid w:val="009C4425"/>
    <w:rsid w:val="009E483E"/>
    <w:rsid w:val="009E53B2"/>
    <w:rsid w:val="009E5E6E"/>
    <w:rsid w:val="00A07611"/>
    <w:rsid w:val="00A127AC"/>
    <w:rsid w:val="00A32D04"/>
    <w:rsid w:val="00A34FE6"/>
    <w:rsid w:val="00A367E4"/>
    <w:rsid w:val="00A51F8E"/>
    <w:rsid w:val="00A531EB"/>
    <w:rsid w:val="00A81246"/>
    <w:rsid w:val="00A87C95"/>
    <w:rsid w:val="00A973BD"/>
    <w:rsid w:val="00AA331C"/>
    <w:rsid w:val="00AB5CB0"/>
    <w:rsid w:val="00AC46F4"/>
    <w:rsid w:val="00AE5FFF"/>
    <w:rsid w:val="00AF4CD4"/>
    <w:rsid w:val="00B00997"/>
    <w:rsid w:val="00B03657"/>
    <w:rsid w:val="00B07215"/>
    <w:rsid w:val="00B15985"/>
    <w:rsid w:val="00B20EE6"/>
    <w:rsid w:val="00B27D06"/>
    <w:rsid w:val="00B36B31"/>
    <w:rsid w:val="00B36E1B"/>
    <w:rsid w:val="00B37C99"/>
    <w:rsid w:val="00B40C3F"/>
    <w:rsid w:val="00B664ED"/>
    <w:rsid w:val="00B66BE4"/>
    <w:rsid w:val="00B76EB6"/>
    <w:rsid w:val="00B80275"/>
    <w:rsid w:val="00B829C2"/>
    <w:rsid w:val="00B845C7"/>
    <w:rsid w:val="00BA0920"/>
    <w:rsid w:val="00BC2BC9"/>
    <w:rsid w:val="00BC6C76"/>
    <w:rsid w:val="00BD7D2B"/>
    <w:rsid w:val="00BE2E53"/>
    <w:rsid w:val="00C039A5"/>
    <w:rsid w:val="00C10C9C"/>
    <w:rsid w:val="00C23C28"/>
    <w:rsid w:val="00C34F5F"/>
    <w:rsid w:val="00C55EC5"/>
    <w:rsid w:val="00C66A7E"/>
    <w:rsid w:val="00C8151F"/>
    <w:rsid w:val="00C823E1"/>
    <w:rsid w:val="00C86A85"/>
    <w:rsid w:val="00C963B7"/>
    <w:rsid w:val="00C96EFC"/>
    <w:rsid w:val="00CA6598"/>
    <w:rsid w:val="00CE3EC7"/>
    <w:rsid w:val="00CE4A4B"/>
    <w:rsid w:val="00CF7CFC"/>
    <w:rsid w:val="00D279D4"/>
    <w:rsid w:val="00D44320"/>
    <w:rsid w:val="00D54394"/>
    <w:rsid w:val="00D67B8B"/>
    <w:rsid w:val="00D933DE"/>
    <w:rsid w:val="00D93C25"/>
    <w:rsid w:val="00DA0A9E"/>
    <w:rsid w:val="00DC30F4"/>
    <w:rsid w:val="00DC44F4"/>
    <w:rsid w:val="00DD5660"/>
    <w:rsid w:val="00DF4B00"/>
    <w:rsid w:val="00DF4E4C"/>
    <w:rsid w:val="00E277C9"/>
    <w:rsid w:val="00E347E0"/>
    <w:rsid w:val="00E50C7C"/>
    <w:rsid w:val="00E54210"/>
    <w:rsid w:val="00E60174"/>
    <w:rsid w:val="00E61454"/>
    <w:rsid w:val="00E658A0"/>
    <w:rsid w:val="00E71A7A"/>
    <w:rsid w:val="00E75754"/>
    <w:rsid w:val="00E75819"/>
    <w:rsid w:val="00EB4BC5"/>
    <w:rsid w:val="00EB519F"/>
    <w:rsid w:val="00EC5A40"/>
    <w:rsid w:val="00EC5C43"/>
    <w:rsid w:val="00EE0E72"/>
    <w:rsid w:val="00EF0F51"/>
    <w:rsid w:val="00EF0F55"/>
    <w:rsid w:val="00EF2098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52925"/>
    <w:rsid w:val="00F5375A"/>
    <w:rsid w:val="00F62E2E"/>
    <w:rsid w:val="00F6364F"/>
    <w:rsid w:val="00F76F2C"/>
    <w:rsid w:val="00F8161B"/>
    <w:rsid w:val="00F93C5C"/>
    <w:rsid w:val="00F96C48"/>
    <w:rsid w:val="00FB41D2"/>
    <w:rsid w:val="00FB76DA"/>
    <w:rsid w:val="00FC7F87"/>
    <w:rsid w:val="00FD1EB8"/>
    <w:rsid w:val="00FD5658"/>
    <w:rsid w:val="00FE0842"/>
    <w:rsid w:val="00FE242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E8B7"/>
  <w15:docId w15:val="{C9993839-EFBB-4679-AD5C-4B60B52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7062D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3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3A1"/>
    <w:rPr>
      <w:rFonts w:ascii="Arial" w:hAnsi="Arial" w:cs="Arial"/>
      <w:color w:val="00000A"/>
    </w:rPr>
  </w:style>
  <w:style w:type="character" w:styleId="Refdenotaderodap">
    <w:name w:val="footnote reference"/>
    <w:basedOn w:val="Fontepargpadro"/>
    <w:uiPriority w:val="99"/>
    <w:semiHidden/>
    <w:unhideWhenUsed/>
    <w:rsid w:val="002253A1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2314D5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FE0A-6188-4E99-AF31-961DA1F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 Barcellos</cp:lastModifiedBy>
  <cp:revision>10</cp:revision>
  <cp:lastPrinted>2004-02-18T20:05:00Z</cp:lastPrinted>
  <dcterms:created xsi:type="dcterms:W3CDTF">2020-06-10T13:11:00Z</dcterms:created>
  <dcterms:modified xsi:type="dcterms:W3CDTF">2020-06-22T16:50:00Z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